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03881" w14:textId="77777777" w:rsidR="00F43C4B" w:rsidRPr="00F16A87" w:rsidRDefault="00F43C4B" w:rsidP="00F16A87">
      <w:pPr>
        <w:spacing w:line="360" w:lineRule="auto"/>
        <w:jc w:val="center"/>
        <w:rPr>
          <w:rFonts w:ascii="Arial" w:hAnsi="Arial" w:cs="Arial"/>
          <w:sz w:val="24"/>
          <w:szCs w:val="24"/>
        </w:rPr>
      </w:pPr>
    </w:p>
    <w:p w14:paraId="31491286" w14:textId="77777777" w:rsidR="00F43C4B" w:rsidRPr="00F16A87" w:rsidRDefault="00F43C4B" w:rsidP="00F16A87">
      <w:pPr>
        <w:spacing w:line="360" w:lineRule="auto"/>
        <w:jc w:val="center"/>
        <w:rPr>
          <w:rFonts w:ascii="Arial" w:hAnsi="Arial" w:cs="Arial"/>
          <w:sz w:val="24"/>
          <w:szCs w:val="24"/>
        </w:rPr>
      </w:pPr>
    </w:p>
    <w:p w14:paraId="6BF1D98A" w14:textId="77777777" w:rsidR="00F43C4B" w:rsidRPr="00F16A87" w:rsidRDefault="00F43C4B" w:rsidP="00F16A87">
      <w:pPr>
        <w:spacing w:line="360" w:lineRule="auto"/>
        <w:jc w:val="center"/>
        <w:rPr>
          <w:rFonts w:ascii="Arial" w:hAnsi="Arial" w:cs="Arial"/>
          <w:sz w:val="24"/>
          <w:szCs w:val="24"/>
        </w:rPr>
      </w:pPr>
    </w:p>
    <w:p w14:paraId="271ABBD7" w14:textId="77777777" w:rsidR="00F43C4B" w:rsidRPr="00F16A87" w:rsidRDefault="00F43C4B" w:rsidP="00F16A87">
      <w:pPr>
        <w:spacing w:line="360" w:lineRule="auto"/>
        <w:jc w:val="center"/>
        <w:rPr>
          <w:rFonts w:ascii="Arial" w:hAnsi="Arial" w:cs="Arial"/>
          <w:sz w:val="24"/>
          <w:szCs w:val="24"/>
        </w:rPr>
      </w:pPr>
    </w:p>
    <w:p w14:paraId="1FA67B26" w14:textId="77777777" w:rsidR="00F43C4B" w:rsidRPr="00F16A87" w:rsidRDefault="00F43C4B" w:rsidP="00F16A87">
      <w:pPr>
        <w:spacing w:line="360" w:lineRule="auto"/>
        <w:jc w:val="center"/>
        <w:rPr>
          <w:rFonts w:ascii="Arial" w:hAnsi="Arial" w:cs="Arial"/>
          <w:sz w:val="24"/>
          <w:szCs w:val="24"/>
        </w:rPr>
      </w:pPr>
    </w:p>
    <w:p w14:paraId="1DC1765B" w14:textId="31F85D41" w:rsidR="00C81943" w:rsidRPr="00F16A87" w:rsidRDefault="00F16A87" w:rsidP="00F16A87">
      <w:pPr>
        <w:spacing w:line="360" w:lineRule="auto"/>
        <w:jc w:val="center"/>
        <w:rPr>
          <w:rFonts w:ascii="Arial" w:hAnsi="Arial" w:cs="Arial"/>
          <w:sz w:val="24"/>
          <w:szCs w:val="24"/>
        </w:rPr>
      </w:pPr>
      <w:r>
        <w:rPr>
          <w:rFonts w:ascii="Arial" w:hAnsi="Arial" w:cs="Arial"/>
          <w:sz w:val="24"/>
          <w:szCs w:val="24"/>
        </w:rPr>
        <w:t>Article Double Entry</w:t>
      </w:r>
      <w:r w:rsidR="00C81943" w:rsidRPr="00F16A87">
        <w:rPr>
          <w:rFonts w:ascii="Arial" w:hAnsi="Arial" w:cs="Arial"/>
          <w:sz w:val="24"/>
          <w:szCs w:val="24"/>
        </w:rPr>
        <w:t xml:space="preserve"> Journal</w:t>
      </w:r>
    </w:p>
    <w:p w14:paraId="65A90686" w14:textId="06C063CD" w:rsidR="00C81943" w:rsidRPr="00F16A87" w:rsidRDefault="00C81943" w:rsidP="00F16A87">
      <w:pPr>
        <w:spacing w:line="360" w:lineRule="auto"/>
        <w:jc w:val="center"/>
        <w:rPr>
          <w:rFonts w:ascii="Arial" w:hAnsi="Arial" w:cs="Arial"/>
          <w:sz w:val="24"/>
          <w:szCs w:val="24"/>
        </w:rPr>
      </w:pPr>
      <w:r w:rsidRPr="00F16A87">
        <w:rPr>
          <w:rFonts w:ascii="Arial" w:hAnsi="Arial" w:cs="Arial"/>
          <w:sz w:val="24"/>
          <w:szCs w:val="24"/>
        </w:rPr>
        <w:t>Albert Baxter</w:t>
      </w:r>
    </w:p>
    <w:p w14:paraId="206C1E9E" w14:textId="77777777" w:rsidR="00C81943" w:rsidRPr="00F16A87" w:rsidRDefault="00C81943" w:rsidP="00F16A87">
      <w:pPr>
        <w:spacing w:line="360" w:lineRule="auto"/>
        <w:jc w:val="center"/>
        <w:rPr>
          <w:rFonts w:ascii="Arial" w:hAnsi="Arial" w:cs="Arial"/>
          <w:sz w:val="24"/>
          <w:szCs w:val="24"/>
        </w:rPr>
      </w:pPr>
      <w:r w:rsidRPr="00F16A87">
        <w:rPr>
          <w:rFonts w:ascii="Arial" w:hAnsi="Arial" w:cs="Arial"/>
          <w:sz w:val="24"/>
          <w:szCs w:val="24"/>
        </w:rPr>
        <w:t>Leadership and Policy Ph.D. Program, Niagara University</w:t>
      </w:r>
    </w:p>
    <w:p w14:paraId="6EDF685D" w14:textId="77777777" w:rsidR="00C81943" w:rsidRPr="00F16A87" w:rsidRDefault="00C81943" w:rsidP="00F16A87">
      <w:pPr>
        <w:spacing w:line="360" w:lineRule="auto"/>
        <w:jc w:val="center"/>
        <w:rPr>
          <w:rFonts w:ascii="Arial" w:hAnsi="Arial" w:cs="Arial"/>
          <w:sz w:val="24"/>
          <w:szCs w:val="24"/>
        </w:rPr>
      </w:pPr>
      <w:r w:rsidRPr="00F16A87">
        <w:rPr>
          <w:rFonts w:ascii="Arial" w:hAnsi="Arial" w:cs="Arial"/>
          <w:sz w:val="24"/>
          <w:szCs w:val="24"/>
        </w:rPr>
        <w:t>ADS 750 Diversity in Organizations</w:t>
      </w:r>
    </w:p>
    <w:p w14:paraId="0BB3B73E" w14:textId="093D2811" w:rsidR="00C81943" w:rsidRPr="00F16A87" w:rsidRDefault="00C81943" w:rsidP="00F16A87">
      <w:pPr>
        <w:spacing w:line="360" w:lineRule="auto"/>
        <w:jc w:val="center"/>
        <w:rPr>
          <w:rFonts w:ascii="Arial" w:hAnsi="Arial" w:cs="Arial"/>
          <w:sz w:val="24"/>
          <w:szCs w:val="24"/>
        </w:rPr>
      </w:pPr>
      <w:r w:rsidRPr="00F16A87">
        <w:rPr>
          <w:rFonts w:ascii="Arial" w:hAnsi="Arial" w:cs="Arial"/>
          <w:sz w:val="24"/>
          <w:szCs w:val="24"/>
        </w:rPr>
        <w:t>Professor Walter Polka Ph.D. &amp; Sushma Marwaha Ph.D.</w:t>
      </w:r>
    </w:p>
    <w:p w14:paraId="088977F4" w14:textId="7FD5183E" w:rsidR="00C81943" w:rsidRPr="00F16A87" w:rsidRDefault="00175B37" w:rsidP="00F16A87">
      <w:pPr>
        <w:spacing w:line="360" w:lineRule="auto"/>
        <w:jc w:val="center"/>
        <w:rPr>
          <w:rFonts w:ascii="Arial" w:hAnsi="Arial" w:cs="Arial"/>
          <w:sz w:val="24"/>
          <w:szCs w:val="24"/>
        </w:rPr>
      </w:pPr>
      <w:r>
        <w:rPr>
          <w:rFonts w:ascii="Arial" w:hAnsi="Arial" w:cs="Arial"/>
          <w:sz w:val="24"/>
          <w:szCs w:val="24"/>
        </w:rPr>
        <w:t>July 5</w:t>
      </w:r>
      <w:r w:rsidR="00C81943" w:rsidRPr="00F16A87">
        <w:rPr>
          <w:rFonts w:ascii="Arial" w:hAnsi="Arial" w:cs="Arial"/>
          <w:sz w:val="24"/>
          <w:szCs w:val="24"/>
        </w:rPr>
        <w:t>, 2020</w:t>
      </w:r>
    </w:p>
    <w:p w14:paraId="5DE0AB67" w14:textId="77777777" w:rsidR="00F43C4B" w:rsidRPr="00F16A87" w:rsidRDefault="00F43C4B" w:rsidP="00F16A87">
      <w:pPr>
        <w:pStyle w:val="NormalWeb"/>
        <w:shd w:val="clear" w:color="auto" w:fill="FFFFFF"/>
        <w:spacing w:before="180" w:beforeAutospacing="0" w:after="180" w:afterAutospacing="0" w:line="360" w:lineRule="auto"/>
        <w:ind w:left="720" w:hanging="720"/>
        <w:rPr>
          <w:rStyle w:val="Emphasis"/>
          <w:rFonts w:ascii="Arial" w:eastAsiaTheme="majorEastAsia" w:hAnsi="Arial" w:cs="Arial"/>
        </w:rPr>
      </w:pPr>
    </w:p>
    <w:p w14:paraId="20F97B34" w14:textId="77777777" w:rsidR="00F43C4B" w:rsidRPr="00F16A87" w:rsidRDefault="00F43C4B" w:rsidP="00F16A87">
      <w:pPr>
        <w:spacing w:line="360" w:lineRule="auto"/>
        <w:rPr>
          <w:rFonts w:ascii="Arial" w:hAnsi="Arial" w:cs="Arial"/>
          <w:sz w:val="24"/>
          <w:szCs w:val="24"/>
        </w:rPr>
      </w:pPr>
    </w:p>
    <w:p w14:paraId="58DF538E" w14:textId="77777777" w:rsidR="00F43C4B" w:rsidRPr="00F16A87" w:rsidRDefault="00F43C4B" w:rsidP="00F16A87">
      <w:pPr>
        <w:spacing w:line="360" w:lineRule="auto"/>
        <w:rPr>
          <w:rStyle w:val="Emphasis"/>
          <w:rFonts w:ascii="Arial" w:eastAsiaTheme="majorEastAsia" w:hAnsi="Arial" w:cs="Arial"/>
          <w:sz w:val="24"/>
          <w:szCs w:val="24"/>
          <w:lang w:eastAsia="en-CA"/>
        </w:rPr>
      </w:pPr>
      <w:r w:rsidRPr="00F16A87">
        <w:rPr>
          <w:rStyle w:val="Emphasis"/>
          <w:rFonts w:ascii="Arial" w:eastAsiaTheme="majorEastAsia" w:hAnsi="Arial" w:cs="Arial"/>
          <w:sz w:val="24"/>
          <w:szCs w:val="24"/>
        </w:rPr>
        <w:br w:type="page"/>
      </w:r>
    </w:p>
    <w:p w14:paraId="4EF8CA77" w14:textId="2C732D12" w:rsidR="00C81943" w:rsidRPr="00F16A87" w:rsidRDefault="00C81943" w:rsidP="00F16A87">
      <w:pPr>
        <w:pStyle w:val="NormalWeb"/>
        <w:numPr>
          <w:ilvl w:val="0"/>
          <w:numId w:val="10"/>
        </w:numPr>
        <w:shd w:val="clear" w:color="auto" w:fill="FFFFFF"/>
        <w:tabs>
          <w:tab w:val="left" w:pos="360"/>
        </w:tabs>
        <w:spacing w:before="180" w:beforeAutospacing="0" w:after="180" w:afterAutospacing="0" w:line="360" w:lineRule="auto"/>
        <w:ind w:left="1080" w:hanging="1080"/>
        <w:rPr>
          <w:rFonts w:ascii="Arial" w:hAnsi="Arial" w:cs="Arial"/>
        </w:rPr>
      </w:pPr>
      <w:r w:rsidRPr="00F16A87">
        <w:rPr>
          <w:rStyle w:val="Emphasis"/>
          <w:rFonts w:ascii="Arial" w:eastAsiaTheme="majorEastAsia" w:hAnsi="Arial" w:cs="Arial"/>
          <w:i w:val="0"/>
          <w:iCs w:val="0"/>
        </w:rPr>
        <w:lastRenderedPageBreak/>
        <w:t>McIntosh, P. (1988).</w:t>
      </w:r>
      <w:r w:rsidRPr="00F16A87">
        <w:rPr>
          <w:rStyle w:val="Emphasis"/>
          <w:rFonts w:ascii="Arial" w:eastAsiaTheme="majorEastAsia" w:hAnsi="Arial" w:cs="Arial"/>
        </w:rPr>
        <w:t xml:space="preserve"> White privilege: Unpacking the invisible knapsack. Race, class, and gender in the United States: An integrated study, 4, 165-169. </w:t>
      </w:r>
      <w:hyperlink r:id="rId8" w:history="1">
        <w:r w:rsidRPr="00F16A87">
          <w:rPr>
            <w:rStyle w:val="Hyperlink"/>
            <w:rFonts w:ascii="Arial" w:hAnsi="Arial" w:cs="Arial"/>
            <w:color w:val="auto"/>
            <w:u w:val="none"/>
          </w:rPr>
          <w:t>https://www.pcc.edu/resources/illumination/documents/white-privilege-essay-</w:t>
        </w:r>
        <w:r w:rsidRPr="00F16A87">
          <w:rPr>
            <w:rStyle w:val="Hyperlink"/>
            <w:rFonts w:ascii="Arial" w:hAnsi="Arial" w:cs="Arial"/>
            <w:color w:val="auto"/>
            <w:u w:val="none"/>
          </w:rPr>
          <w:t>m</w:t>
        </w:r>
        <w:r w:rsidRPr="00F16A87">
          <w:rPr>
            <w:rStyle w:val="Hyperlink"/>
            <w:rFonts w:ascii="Arial" w:hAnsi="Arial" w:cs="Arial"/>
            <w:color w:val="auto"/>
            <w:u w:val="none"/>
          </w:rPr>
          <w:t>cintosh.pdf</w:t>
        </w:r>
        <w:r w:rsidRPr="00F16A87">
          <w:rPr>
            <w:rStyle w:val="Hyperlink"/>
            <w:rFonts w:ascii="Arial" w:hAnsi="Arial" w:cs="Arial"/>
            <w:color w:val="auto"/>
            <w:u w:val="none"/>
            <w:bdr w:val="none" w:sz="0" w:space="0" w:color="auto" w:frame="1"/>
          </w:rPr>
          <w:t> (Links to an external site.)Links to an external site.</w:t>
        </w:r>
      </w:hyperlink>
    </w:p>
    <w:tbl>
      <w:tblPr>
        <w:tblStyle w:val="TableGrid"/>
        <w:tblW w:w="9806" w:type="dxa"/>
        <w:tblInd w:w="-455" w:type="dxa"/>
        <w:tblLook w:val="04A0" w:firstRow="1" w:lastRow="0" w:firstColumn="1" w:lastColumn="0" w:noHBand="0" w:noVBand="1"/>
      </w:tblPr>
      <w:tblGrid>
        <w:gridCol w:w="1584"/>
        <w:gridCol w:w="4111"/>
        <w:gridCol w:w="4111"/>
      </w:tblGrid>
      <w:tr w:rsidR="002912BE" w:rsidRPr="00F16A87" w14:paraId="1854A6DC" w14:textId="77777777" w:rsidTr="00175B37">
        <w:tc>
          <w:tcPr>
            <w:tcW w:w="1584" w:type="dxa"/>
          </w:tcPr>
          <w:p w14:paraId="7F6C43A0" w14:textId="31D835D7" w:rsidR="00A50B34" w:rsidRPr="00175B37" w:rsidRDefault="002912BE" w:rsidP="00175B37">
            <w:pPr>
              <w:spacing w:line="360" w:lineRule="auto"/>
              <w:rPr>
                <w:rFonts w:ascii="Arial" w:hAnsi="Arial" w:cs="Arial"/>
                <w:bCs/>
                <w:sz w:val="24"/>
                <w:szCs w:val="24"/>
              </w:rPr>
            </w:pPr>
            <w:r w:rsidRPr="00175B37">
              <w:rPr>
                <w:rFonts w:ascii="Arial" w:hAnsi="Arial" w:cs="Arial"/>
                <w:bCs/>
                <w:sz w:val="24"/>
                <w:szCs w:val="24"/>
              </w:rPr>
              <w:t>Page</w:t>
            </w:r>
            <w:r w:rsidR="009F5210" w:rsidRPr="00175B37">
              <w:rPr>
                <w:rFonts w:ascii="Arial" w:hAnsi="Arial" w:cs="Arial"/>
                <w:bCs/>
                <w:sz w:val="24"/>
                <w:szCs w:val="24"/>
              </w:rPr>
              <w:t xml:space="preserve"> #</w:t>
            </w:r>
            <w:r w:rsidR="0075598C" w:rsidRPr="00175B37">
              <w:rPr>
                <w:rFonts w:ascii="Arial" w:hAnsi="Arial" w:cs="Arial"/>
                <w:bCs/>
                <w:sz w:val="24"/>
                <w:szCs w:val="24"/>
              </w:rPr>
              <w:t xml:space="preserve"> (s)</w:t>
            </w:r>
            <w:r w:rsidR="00175B37">
              <w:rPr>
                <w:rFonts w:ascii="Arial" w:hAnsi="Arial" w:cs="Arial"/>
                <w:bCs/>
                <w:sz w:val="24"/>
                <w:szCs w:val="24"/>
              </w:rPr>
              <w:t xml:space="preserve"> </w:t>
            </w:r>
            <w:r w:rsidR="00A50B34" w:rsidRPr="00175B37">
              <w:rPr>
                <w:rFonts w:ascii="Arial" w:hAnsi="Arial" w:cs="Arial"/>
                <w:bCs/>
                <w:sz w:val="24"/>
                <w:szCs w:val="24"/>
              </w:rPr>
              <w:t>1</w:t>
            </w:r>
          </w:p>
        </w:tc>
        <w:tc>
          <w:tcPr>
            <w:tcW w:w="4111" w:type="dxa"/>
          </w:tcPr>
          <w:p w14:paraId="3F03425C" w14:textId="77777777" w:rsidR="00E24176" w:rsidRPr="00175B37" w:rsidRDefault="00E24176" w:rsidP="00F16A87">
            <w:pPr>
              <w:pStyle w:val="NormalWeb"/>
              <w:shd w:val="clear" w:color="auto" w:fill="FFFFFF"/>
              <w:spacing w:line="360" w:lineRule="auto"/>
              <w:rPr>
                <w:rFonts w:ascii="Arial" w:hAnsi="Arial" w:cs="Arial"/>
                <w:bCs/>
              </w:rPr>
            </w:pPr>
          </w:p>
          <w:p w14:paraId="03B1A626" w14:textId="3277F51E" w:rsidR="00A50B34" w:rsidRPr="00175B37" w:rsidRDefault="00A50B34" w:rsidP="00F16A87">
            <w:pPr>
              <w:pStyle w:val="NormalWeb"/>
              <w:shd w:val="clear" w:color="auto" w:fill="FFFFFF"/>
              <w:spacing w:line="360" w:lineRule="auto"/>
              <w:rPr>
                <w:rFonts w:ascii="Arial" w:hAnsi="Arial" w:cs="Arial"/>
                <w:bCs/>
              </w:rPr>
            </w:pPr>
            <w:r w:rsidRPr="00175B37">
              <w:rPr>
                <w:rFonts w:ascii="Arial" w:hAnsi="Arial" w:cs="Arial"/>
                <w:bCs/>
              </w:rPr>
              <w:t>“Then I remembered the frequent charges from women of color that white women whom they encounter are oppressive. I began to understand why we are justly seen as oppressive, even when we don’t see ourselves that way. I began to count the ways in which I enjoy unearned skin privilege and have been conditioned into oblivion about its existence.”</w:t>
            </w:r>
          </w:p>
          <w:p w14:paraId="776B531F" w14:textId="513FA74B" w:rsidR="00A50B34" w:rsidRPr="00175B37" w:rsidRDefault="00A50B34" w:rsidP="00F16A87">
            <w:pPr>
              <w:spacing w:line="360" w:lineRule="auto"/>
              <w:rPr>
                <w:rFonts w:ascii="Arial" w:hAnsi="Arial" w:cs="Arial"/>
                <w:bCs/>
                <w:sz w:val="24"/>
                <w:szCs w:val="24"/>
              </w:rPr>
            </w:pPr>
          </w:p>
        </w:tc>
        <w:tc>
          <w:tcPr>
            <w:tcW w:w="4111" w:type="dxa"/>
          </w:tcPr>
          <w:p w14:paraId="299EDE69" w14:textId="77777777" w:rsidR="00A50B34" w:rsidRPr="00F16A87" w:rsidRDefault="00A50B34" w:rsidP="00F16A87">
            <w:pPr>
              <w:pStyle w:val="ListParagraph"/>
              <w:spacing w:line="360" w:lineRule="auto"/>
              <w:rPr>
                <w:rFonts w:ascii="Arial" w:hAnsi="Arial" w:cs="Arial"/>
                <w:b/>
                <w:sz w:val="24"/>
                <w:szCs w:val="24"/>
              </w:rPr>
            </w:pPr>
          </w:p>
          <w:p w14:paraId="1E21F089" w14:textId="154A0F4B" w:rsidR="000170AA" w:rsidRPr="00F16A87" w:rsidRDefault="000170AA" w:rsidP="00F16A87">
            <w:pPr>
              <w:pStyle w:val="ListParagraph"/>
              <w:numPr>
                <w:ilvl w:val="0"/>
                <w:numId w:val="4"/>
              </w:numPr>
              <w:spacing w:line="360" w:lineRule="auto"/>
              <w:rPr>
                <w:rFonts w:ascii="Arial" w:hAnsi="Arial" w:cs="Arial"/>
                <w:bCs/>
                <w:sz w:val="24"/>
                <w:szCs w:val="24"/>
              </w:rPr>
            </w:pPr>
            <w:r w:rsidRPr="00F16A87">
              <w:rPr>
                <w:rFonts w:ascii="Arial" w:hAnsi="Arial" w:cs="Arial"/>
                <w:bCs/>
                <w:sz w:val="24"/>
                <w:szCs w:val="24"/>
              </w:rPr>
              <w:t>I believe we often get engulfed in our own victim mentality that we fail to recognize that we may be the one victimizing others.</w:t>
            </w:r>
          </w:p>
          <w:p w14:paraId="6B60D228" w14:textId="5944DFD6" w:rsidR="0075598C" w:rsidRPr="00F16A87" w:rsidRDefault="000170AA" w:rsidP="00F16A87">
            <w:pPr>
              <w:pStyle w:val="ListParagraph"/>
              <w:spacing w:line="360" w:lineRule="auto"/>
              <w:rPr>
                <w:rFonts w:ascii="Arial" w:hAnsi="Arial" w:cs="Arial"/>
                <w:bCs/>
                <w:sz w:val="24"/>
                <w:szCs w:val="24"/>
              </w:rPr>
            </w:pPr>
            <w:r w:rsidRPr="00F16A87">
              <w:rPr>
                <w:rFonts w:ascii="Arial" w:hAnsi="Arial" w:cs="Arial"/>
                <w:bCs/>
                <w:sz w:val="24"/>
                <w:szCs w:val="24"/>
              </w:rPr>
              <w:t xml:space="preserve">This premise describes how personal conflict can be responsible for not recognizing the suffering of those around us. </w:t>
            </w:r>
          </w:p>
          <w:p w14:paraId="0E13720B" w14:textId="77777777" w:rsidR="000170AA" w:rsidRPr="00F16A87" w:rsidRDefault="000170AA" w:rsidP="00F16A87">
            <w:pPr>
              <w:spacing w:line="360" w:lineRule="auto"/>
              <w:rPr>
                <w:rFonts w:ascii="Arial" w:hAnsi="Arial" w:cs="Arial"/>
                <w:bCs/>
                <w:sz w:val="24"/>
                <w:szCs w:val="24"/>
              </w:rPr>
            </w:pPr>
          </w:p>
          <w:p w14:paraId="7C6B3925" w14:textId="093FACCF" w:rsidR="0075598C" w:rsidRPr="00F16A87" w:rsidRDefault="000170AA" w:rsidP="00F16A87">
            <w:pPr>
              <w:pStyle w:val="ListParagraph"/>
              <w:numPr>
                <w:ilvl w:val="0"/>
                <w:numId w:val="4"/>
              </w:numPr>
              <w:spacing w:line="360" w:lineRule="auto"/>
              <w:rPr>
                <w:rFonts w:ascii="Arial" w:hAnsi="Arial" w:cs="Arial"/>
                <w:bCs/>
                <w:sz w:val="24"/>
                <w:szCs w:val="24"/>
              </w:rPr>
            </w:pPr>
            <w:r w:rsidRPr="00F16A87">
              <w:rPr>
                <w:rFonts w:ascii="Arial" w:hAnsi="Arial" w:cs="Arial"/>
                <w:bCs/>
                <w:sz w:val="24"/>
                <w:szCs w:val="24"/>
              </w:rPr>
              <w:t>I have noticed that problems of other as not interpreted as being</w:t>
            </w:r>
            <w:r w:rsidR="00E32610" w:rsidRPr="00F16A87">
              <w:rPr>
                <w:rFonts w:ascii="Arial" w:hAnsi="Arial" w:cs="Arial"/>
                <w:bCs/>
                <w:sz w:val="24"/>
                <w:szCs w:val="24"/>
              </w:rPr>
              <w:t xml:space="preserve"> a problem for all</w:t>
            </w:r>
            <w:r w:rsidRPr="00F16A87">
              <w:rPr>
                <w:rFonts w:ascii="Arial" w:hAnsi="Arial" w:cs="Arial"/>
                <w:bCs/>
                <w:sz w:val="24"/>
                <w:szCs w:val="24"/>
              </w:rPr>
              <w:t xml:space="preserve"> until there is a personal connection.</w:t>
            </w:r>
            <w:r w:rsidR="000A0921" w:rsidRPr="00F16A87">
              <w:rPr>
                <w:rFonts w:ascii="Arial" w:hAnsi="Arial" w:cs="Arial"/>
                <w:bCs/>
                <w:sz w:val="24"/>
                <w:szCs w:val="24"/>
              </w:rPr>
              <w:t xml:space="preserve">  </w:t>
            </w:r>
          </w:p>
          <w:p w14:paraId="1EDD8F98" w14:textId="77777777" w:rsidR="000170AA" w:rsidRPr="00F16A87" w:rsidRDefault="000170AA" w:rsidP="00F16A87">
            <w:pPr>
              <w:pStyle w:val="ListParagraph"/>
              <w:spacing w:line="360" w:lineRule="auto"/>
              <w:rPr>
                <w:rFonts w:ascii="Arial" w:hAnsi="Arial" w:cs="Arial"/>
                <w:bCs/>
                <w:sz w:val="24"/>
                <w:szCs w:val="24"/>
              </w:rPr>
            </w:pPr>
          </w:p>
          <w:p w14:paraId="387C40F2" w14:textId="5B54B37F" w:rsidR="002912BE" w:rsidRPr="00F16A87" w:rsidRDefault="000170AA" w:rsidP="00F16A87">
            <w:pPr>
              <w:pStyle w:val="ListParagraph"/>
              <w:numPr>
                <w:ilvl w:val="0"/>
                <w:numId w:val="4"/>
              </w:numPr>
              <w:spacing w:line="360" w:lineRule="auto"/>
              <w:rPr>
                <w:rFonts w:ascii="Arial" w:hAnsi="Arial" w:cs="Arial"/>
                <w:bCs/>
                <w:sz w:val="24"/>
                <w:szCs w:val="24"/>
              </w:rPr>
            </w:pPr>
            <w:r w:rsidRPr="00F16A87">
              <w:rPr>
                <w:rFonts w:ascii="Arial" w:hAnsi="Arial" w:cs="Arial"/>
                <w:bCs/>
                <w:sz w:val="24"/>
                <w:szCs w:val="24"/>
              </w:rPr>
              <w:t>The statement is a recollection of how the struggles of others can be heard but do</w:t>
            </w:r>
            <w:r w:rsidR="00E32610" w:rsidRPr="00F16A87">
              <w:rPr>
                <w:rFonts w:ascii="Arial" w:hAnsi="Arial" w:cs="Arial"/>
                <w:bCs/>
                <w:sz w:val="24"/>
                <w:szCs w:val="24"/>
              </w:rPr>
              <w:t xml:space="preserve">es not </w:t>
            </w:r>
            <w:r w:rsidRPr="00F16A87">
              <w:rPr>
                <w:rFonts w:ascii="Arial" w:hAnsi="Arial" w:cs="Arial"/>
                <w:bCs/>
                <w:sz w:val="24"/>
                <w:szCs w:val="24"/>
              </w:rPr>
              <w:t>resonate until the</w:t>
            </w:r>
            <w:r w:rsidR="00E32610" w:rsidRPr="00F16A87">
              <w:rPr>
                <w:rFonts w:ascii="Arial" w:hAnsi="Arial" w:cs="Arial"/>
                <w:bCs/>
                <w:sz w:val="24"/>
                <w:szCs w:val="24"/>
              </w:rPr>
              <w:t xml:space="preserve"> </w:t>
            </w:r>
            <w:r w:rsidRPr="00F16A87">
              <w:rPr>
                <w:rFonts w:ascii="Arial" w:hAnsi="Arial" w:cs="Arial"/>
                <w:bCs/>
                <w:sz w:val="24"/>
                <w:szCs w:val="24"/>
              </w:rPr>
              <w:t>circumstance makes it personal.</w:t>
            </w:r>
          </w:p>
          <w:p w14:paraId="78264EC0" w14:textId="77777777" w:rsidR="000170AA" w:rsidRPr="00F16A87" w:rsidRDefault="000170AA" w:rsidP="00F16A87">
            <w:pPr>
              <w:spacing w:line="360" w:lineRule="auto"/>
              <w:rPr>
                <w:rFonts w:ascii="Arial" w:hAnsi="Arial" w:cs="Arial"/>
                <w:bCs/>
                <w:sz w:val="24"/>
                <w:szCs w:val="24"/>
              </w:rPr>
            </w:pPr>
          </w:p>
          <w:p w14:paraId="11D44B2D" w14:textId="77777777" w:rsidR="0075598C" w:rsidRPr="00F16A87" w:rsidRDefault="0075598C" w:rsidP="00F16A87">
            <w:pPr>
              <w:pStyle w:val="ListParagraph"/>
              <w:numPr>
                <w:ilvl w:val="0"/>
                <w:numId w:val="4"/>
              </w:numPr>
              <w:spacing w:line="360" w:lineRule="auto"/>
              <w:rPr>
                <w:rFonts w:ascii="Arial" w:hAnsi="Arial" w:cs="Arial"/>
                <w:bCs/>
                <w:sz w:val="24"/>
                <w:szCs w:val="24"/>
              </w:rPr>
            </w:pPr>
            <w:r w:rsidRPr="00F16A87">
              <w:rPr>
                <w:rFonts w:ascii="Arial" w:hAnsi="Arial" w:cs="Arial"/>
                <w:bCs/>
                <w:sz w:val="24"/>
                <w:szCs w:val="24"/>
              </w:rPr>
              <w:lastRenderedPageBreak/>
              <w:t>How this reading relates to others you have read?</w:t>
            </w:r>
          </w:p>
        </w:tc>
      </w:tr>
      <w:tr w:rsidR="002912BE" w:rsidRPr="00F16A87" w14:paraId="3C37F4C0" w14:textId="77777777" w:rsidTr="00175B37">
        <w:tc>
          <w:tcPr>
            <w:tcW w:w="1584" w:type="dxa"/>
          </w:tcPr>
          <w:p w14:paraId="02921187" w14:textId="5C6309BA" w:rsidR="002912BE" w:rsidRPr="00F16A87" w:rsidRDefault="00175B37" w:rsidP="00175B37">
            <w:pPr>
              <w:spacing w:line="360" w:lineRule="auto"/>
              <w:jc w:val="center"/>
              <w:rPr>
                <w:rFonts w:ascii="Arial" w:hAnsi="Arial" w:cs="Arial"/>
                <w:sz w:val="24"/>
                <w:szCs w:val="24"/>
              </w:rPr>
            </w:pPr>
            <w:r>
              <w:rPr>
                <w:rFonts w:ascii="Arial" w:hAnsi="Arial" w:cs="Arial"/>
                <w:sz w:val="24"/>
                <w:szCs w:val="24"/>
              </w:rPr>
              <w:lastRenderedPageBreak/>
              <w:t>4</w:t>
            </w:r>
          </w:p>
        </w:tc>
        <w:tc>
          <w:tcPr>
            <w:tcW w:w="4111" w:type="dxa"/>
          </w:tcPr>
          <w:p w14:paraId="25532331" w14:textId="6656E5F4" w:rsidR="002912BE" w:rsidRPr="00F16A87" w:rsidRDefault="005E6705" w:rsidP="00F16A87">
            <w:pPr>
              <w:pStyle w:val="NormalWeb"/>
              <w:shd w:val="clear" w:color="auto" w:fill="FFFFFF"/>
              <w:spacing w:line="360" w:lineRule="auto"/>
              <w:rPr>
                <w:rFonts w:ascii="Arial" w:hAnsi="Arial" w:cs="Arial"/>
              </w:rPr>
            </w:pPr>
            <w:r w:rsidRPr="00F16A87">
              <w:rPr>
                <w:rFonts w:ascii="Arial" w:hAnsi="Arial" w:cs="Arial"/>
              </w:rPr>
              <w:t>“In proportion as my racial group was being made confident, comfortable, and oblivious, other groups were likely being made unconfident, uncomfortable, and alienated. Whiteness protected me from many kinds of hostility, distress, and violence, which I was being subtly trained to visit, in turn, upon people of color.”</w:t>
            </w:r>
          </w:p>
        </w:tc>
        <w:tc>
          <w:tcPr>
            <w:tcW w:w="4111" w:type="dxa"/>
          </w:tcPr>
          <w:p w14:paraId="1516ABCB" w14:textId="0646EE2B" w:rsidR="005E6705" w:rsidRPr="00F16A87" w:rsidRDefault="005E6705" w:rsidP="00F16A87">
            <w:pPr>
              <w:pStyle w:val="ListParagraph"/>
              <w:numPr>
                <w:ilvl w:val="0"/>
                <w:numId w:val="11"/>
              </w:numPr>
              <w:spacing w:line="360" w:lineRule="auto"/>
              <w:rPr>
                <w:rFonts w:ascii="Arial" w:hAnsi="Arial" w:cs="Arial"/>
                <w:bCs/>
                <w:sz w:val="24"/>
                <w:szCs w:val="24"/>
              </w:rPr>
            </w:pPr>
            <w:r w:rsidRPr="00F16A87">
              <w:rPr>
                <w:rFonts w:ascii="Arial" w:hAnsi="Arial" w:cs="Arial"/>
                <w:bCs/>
                <w:sz w:val="24"/>
                <w:szCs w:val="24"/>
              </w:rPr>
              <w:t>Even though this piece was written more than 30 years ago the same sentiment of entitlement is seen in modern times</w:t>
            </w:r>
          </w:p>
          <w:p w14:paraId="21C95693" w14:textId="77777777" w:rsidR="005E6705" w:rsidRPr="00F16A87" w:rsidRDefault="005E6705" w:rsidP="00F16A87">
            <w:pPr>
              <w:spacing w:line="360" w:lineRule="auto"/>
              <w:rPr>
                <w:rFonts w:ascii="Arial" w:hAnsi="Arial" w:cs="Arial"/>
                <w:bCs/>
                <w:sz w:val="24"/>
                <w:szCs w:val="24"/>
              </w:rPr>
            </w:pPr>
          </w:p>
          <w:p w14:paraId="1E83033F" w14:textId="77777777" w:rsidR="002912BE" w:rsidRPr="00F16A87" w:rsidRDefault="005E6705" w:rsidP="00F16A87">
            <w:pPr>
              <w:pStyle w:val="ListParagraph"/>
              <w:numPr>
                <w:ilvl w:val="0"/>
                <w:numId w:val="11"/>
              </w:numPr>
              <w:spacing w:line="360" w:lineRule="auto"/>
              <w:rPr>
                <w:rFonts w:ascii="Arial" w:hAnsi="Arial" w:cs="Arial"/>
                <w:bCs/>
                <w:sz w:val="24"/>
                <w:szCs w:val="24"/>
              </w:rPr>
            </w:pPr>
            <w:r w:rsidRPr="00F16A87">
              <w:rPr>
                <w:rFonts w:ascii="Arial" w:hAnsi="Arial" w:cs="Arial"/>
                <w:bCs/>
                <w:sz w:val="24"/>
                <w:szCs w:val="24"/>
              </w:rPr>
              <w:t>Whites often use their race to inflict distress on no-whites playing on stereotypes to find resolution that benefit themselves regardless of it being warranted.</w:t>
            </w:r>
          </w:p>
          <w:p w14:paraId="2320542A" w14:textId="77777777" w:rsidR="005E6705" w:rsidRPr="00F16A87" w:rsidRDefault="005E6705" w:rsidP="00F16A87">
            <w:pPr>
              <w:pStyle w:val="ListParagraph"/>
              <w:spacing w:line="360" w:lineRule="auto"/>
              <w:rPr>
                <w:rFonts w:ascii="Arial" w:hAnsi="Arial" w:cs="Arial"/>
                <w:bCs/>
                <w:sz w:val="24"/>
                <w:szCs w:val="24"/>
              </w:rPr>
            </w:pPr>
          </w:p>
          <w:p w14:paraId="0179E44C" w14:textId="6CBAA5BE" w:rsidR="005E6705" w:rsidRPr="00F16A87" w:rsidRDefault="005E6705" w:rsidP="00F16A87">
            <w:pPr>
              <w:pStyle w:val="ListParagraph"/>
              <w:numPr>
                <w:ilvl w:val="0"/>
                <w:numId w:val="11"/>
              </w:numPr>
              <w:spacing w:line="360" w:lineRule="auto"/>
              <w:rPr>
                <w:rFonts w:ascii="Arial" w:hAnsi="Arial" w:cs="Arial"/>
                <w:bCs/>
                <w:sz w:val="24"/>
                <w:szCs w:val="24"/>
              </w:rPr>
            </w:pPr>
            <w:r w:rsidRPr="00F16A87">
              <w:rPr>
                <w:rFonts w:ascii="Arial" w:hAnsi="Arial" w:cs="Arial"/>
                <w:bCs/>
                <w:sz w:val="24"/>
                <w:szCs w:val="24"/>
              </w:rPr>
              <w:t xml:space="preserve">The statement is a realization that for white race is a powerful tool that can be that willingly or subconsciously used against not whites  </w:t>
            </w:r>
          </w:p>
        </w:tc>
      </w:tr>
    </w:tbl>
    <w:p w14:paraId="49B54BFB" w14:textId="0BDEDB4C" w:rsidR="000E697F" w:rsidRPr="00F16A87" w:rsidRDefault="000E697F" w:rsidP="00F16A87">
      <w:pPr>
        <w:spacing w:line="360" w:lineRule="auto"/>
        <w:rPr>
          <w:rFonts w:ascii="Arial" w:hAnsi="Arial" w:cs="Arial"/>
          <w:sz w:val="24"/>
          <w:szCs w:val="24"/>
        </w:rPr>
      </w:pPr>
    </w:p>
    <w:p w14:paraId="7F8FAEC6" w14:textId="77777777" w:rsidR="000E697F" w:rsidRPr="00F16A87" w:rsidRDefault="000E697F" w:rsidP="00F16A87">
      <w:pPr>
        <w:spacing w:line="360" w:lineRule="auto"/>
        <w:rPr>
          <w:rFonts w:ascii="Arial" w:hAnsi="Arial" w:cs="Arial"/>
          <w:sz w:val="24"/>
          <w:szCs w:val="24"/>
        </w:rPr>
      </w:pPr>
      <w:r w:rsidRPr="00F16A87">
        <w:rPr>
          <w:rFonts w:ascii="Arial" w:hAnsi="Arial" w:cs="Arial"/>
          <w:sz w:val="24"/>
          <w:szCs w:val="24"/>
        </w:rPr>
        <w:br w:type="page"/>
      </w:r>
    </w:p>
    <w:p w14:paraId="4DE8E765" w14:textId="49170D79" w:rsidR="00714DA5" w:rsidRPr="00F16A87" w:rsidRDefault="00714DA5" w:rsidP="00F16A87">
      <w:pPr>
        <w:pStyle w:val="ListParagraph"/>
        <w:numPr>
          <w:ilvl w:val="0"/>
          <w:numId w:val="10"/>
        </w:numPr>
        <w:spacing w:line="360" w:lineRule="auto"/>
        <w:ind w:left="360"/>
        <w:rPr>
          <w:rFonts w:ascii="Arial" w:hAnsi="Arial" w:cs="Arial"/>
          <w:sz w:val="24"/>
          <w:szCs w:val="24"/>
        </w:rPr>
      </w:pPr>
      <w:proofErr w:type="spellStart"/>
      <w:r w:rsidRPr="00F16A87">
        <w:rPr>
          <w:rFonts w:ascii="Arial" w:eastAsia="Times New Roman" w:hAnsi="Arial" w:cs="Arial"/>
          <w:color w:val="000000"/>
          <w:sz w:val="24"/>
          <w:szCs w:val="24"/>
          <w:shd w:val="clear" w:color="auto" w:fill="FFFFFF"/>
          <w:lang w:val="en-US"/>
        </w:rPr>
        <w:lastRenderedPageBreak/>
        <w:t>Nakonechny</w:t>
      </w:r>
      <w:proofErr w:type="spellEnd"/>
      <w:r w:rsidRPr="00F16A87">
        <w:rPr>
          <w:rFonts w:ascii="Arial" w:eastAsia="Times New Roman" w:hAnsi="Arial" w:cs="Arial"/>
          <w:color w:val="000000"/>
          <w:sz w:val="24"/>
          <w:szCs w:val="24"/>
          <w:shd w:val="clear" w:color="auto" w:fill="FFFFFF"/>
          <w:lang w:val="en-US"/>
        </w:rPr>
        <w:t>, S.</w:t>
      </w:r>
      <w:r w:rsidRPr="00F16A87">
        <w:rPr>
          <w:rFonts w:ascii="Arial" w:eastAsia="Times New Roman" w:hAnsi="Arial" w:cs="Arial"/>
          <w:i/>
          <w:iCs/>
          <w:color w:val="000000"/>
          <w:sz w:val="24"/>
          <w:szCs w:val="24"/>
          <w:shd w:val="clear" w:color="auto" w:fill="FFFFFF"/>
          <w:lang w:val="en-US"/>
        </w:rPr>
        <w:t xml:space="preserve"> </w:t>
      </w:r>
      <w:r w:rsidRPr="00F16A87">
        <w:rPr>
          <w:rStyle w:val="Emphasis"/>
          <w:rFonts w:ascii="Arial" w:eastAsiaTheme="majorEastAsia" w:hAnsi="Arial" w:cs="Arial"/>
          <w:i w:val="0"/>
          <w:iCs w:val="0"/>
          <w:color w:val="000000" w:themeColor="text1"/>
          <w:sz w:val="24"/>
          <w:szCs w:val="24"/>
        </w:rPr>
        <w:t>(2019, April 14).</w:t>
      </w:r>
      <w:r w:rsidRPr="00F16A87">
        <w:rPr>
          <w:rStyle w:val="Emphasis"/>
          <w:rFonts w:ascii="Arial" w:eastAsiaTheme="majorEastAsia" w:hAnsi="Arial" w:cs="Arial"/>
          <w:color w:val="000000" w:themeColor="text1"/>
          <w:sz w:val="24"/>
          <w:szCs w:val="24"/>
        </w:rPr>
        <w:t xml:space="preserve"> Hundreds protest against Bill 21 at dual rallies in Montreal.</w:t>
      </w:r>
      <w:r w:rsidRPr="00F16A87">
        <w:rPr>
          <w:rStyle w:val="Emphasis"/>
          <w:rFonts w:ascii="Arial" w:eastAsiaTheme="majorEastAsia" w:hAnsi="Arial" w:cs="Arial"/>
          <w:i w:val="0"/>
          <w:iCs w:val="0"/>
          <w:color w:val="000000" w:themeColor="text1"/>
          <w:sz w:val="24"/>
          <w:szCs w:val="24"/>
        </w:rPr>
        <w:t xml:space="preserve"> CBC News. Retrieved from </w:t>
      </w:r>
      <w:r w:rsidRPr="00F16A87">
        <w:rPr>
          <w:rFonts w:ascii="Arial" w:hAnsi="Arial" w:cs="Arial"/>
          <w:sz w:val="24"/>
          <w:szCs w:val="24"/>
        </w:rPr>
        <w:t>https://www.cbc.ca/news/canada/montreal/bill-21-protests-april-14-religious-organizations-1.5097671</w:t>
      </w:r>
    </w:p>
    <w:tbl>
      <w:tblPr>
        <w:tblStyle w:val="TableGrid"/>
        <w:tblW w:w="9806" w:type="dxa"/>
        <w:tblInd w:w="-455" w:type="dxa"/>
        <w:tblLook w:val="04A0" w:firstRow="1" w:lastRow="0" w:firstColumn="1" w:lastColumn="0" w:noHBand="0" w:noVBand="1"/>
      </w:tblPr>
      <w:tblGrid>
        <w:gridCol w:w="1584"/>
        <w:gridCol w:w="4111"/>
        <w:gridCol w:w="4111"/>
      </w:tblGrid>
      <w:tr w:rsidR="00C81943" w:rsidRPr="00F16A87" w14:paraId="2F622581" w14:textId="77777777" w:rsidTr="00175B37">
        <w:tc>
          <w:tcPr>
            <w:tcW w:w="1584" w:type="dxa"/>
          </w:tcPr>
          <w:p w14:paraId="6E8B6821" w14:textId="6A361905" w:rsidR="00C81943" w:rsidRPr="00175B37" w:rsidRDefault="00C81943" w:rsidP="00F16A87">
            <w:pPr>
              <w:spacing w:line="360" w:lineRule="auto"/>
              <w:rPr>
                <w:rFonts w:ascii="Arial" w:hAnsi="Arial" w:cs="Arial"/>
                <w:bCs/>
                <w:sz w:val="24"/>
                <w:szCs w:val="24"/>
              </w:rPr>
            </w:pPr>
            <w:r w:rsidRPr="00175B37">
              <w:rPr>
                <w:rFonts w:ascii="Arial" w:hAnsi="Arial" w:cs="Arial"/>
                <w:bCs/>
                <w:sz w:val="24"/>
                <w:szCs w:val="24"/>
              </w:rPr>
              <w:t>Page # (s)</w:t>
            </w:r>
            <w:r w:rsidR="00175B37" w:rsidRPr="00175B37">
              <w:rPr>
                <w:rFonts w:ascii="Arial" w:hAnsi="Arial" w:cs="Arial"/>
                <w:bCs/>
                <w:sz w:val="24"/>
                <w:szCs w:val="24"/>
              </w:rPr>
              <w:t xml:space="preserve"> 2</w:t>
            </w:r>
          </w:p>
        </w:tc>
        <w:tc>
          <w:tcPr>
            <w:tcW w:w="4111" w:type="dxa"/>
          </w:tcPr>
          <w:p w14:paraId="75269E17" w14:textId="4B3519DF" w:rsidR="00DD1261" w:rsidRPr="00F16A87" w:rsidRDefault="00DD1261" w:rsidP="00F16A87">
            <w:pPr>
              <w:spacing w:line="360" w:lineRule="auto"/>
              <w:rPr>
                <w:rFonts w:ascii="Arial" w:hAnsi="Arial" w:cs="Arial"/>
                <w:sz w:val="24"/>
                <w:szCs w:val="24"/>
              </w:rPr>
            </w:pPr>
            <w:r w:rsidRPr="00F16A87">
              <w:rPr>
                <w:rFonts w:ascii="Arial" w:hAnsi="Arial" w:cs="Arial"/>
                <w:color w:val="222222"/>
                <w:sz w:val="24"/>
                <w:szCs w:val="24"/>
                <w:shd w:val="clear" w:color="auto" w:fill="FFFFFF"/>
              </w:rPr>
              <w:t>“We don't see ourselves in this law. We should not be legislating discrimination”</w:t>
            </w:r>
            <w:r w:rsidR="007D5734" w:rsidRPr="00F16A87">
              <w:rPr>
                <w:rFonts w:ascii="Arial" w:hAnsi="Arial" w:cs="Arial"/>
                <w:color w:val="222222"/>
                <w:sz w:val="24"/>
                <w:szCs w:val="24"/>
                <w:shd w:val="clear" w:color="auto" w:fill="FFFFFF"/>
              </w:rPr>
              <w:t xml:space="preserve"> Lionel Perez</w:t>
            </w:r>
          </w:p>
        </w:tc>
        <w:tc>
          <w:tcPr>
            <w:tcW w:w="4111" w:type="dxa"/>
          </w:tcPr>
          <w:p w14:paraId="658BDA5B" w14:textId="33DF7266" w:rsidR="00C81943" w:rsidRPr="00277A13" w:rsidRDefault="00277A13" w:rsidP="00F16A87">
            <w:pPr>
              <w:pStyle w:val="ListParagraph"/>
              <w:numPr>
                <w:ilvl w:val="0"/>
                <w:numId w:val="6"/>
              </w:numPr>
              <w:spacing w:line="360" w:lineRule="auto"/>
              <w:rPr>
                <w:rFonts w:ascii="Arial" w:hAnsi="Arial" w:cs="Arial"/>
                <w:bCs/>
                <w:sz w:val="24"/>
                <w:szCs w:val="24"/>
              </w:rPr>
            </w:pPr>
            <w:r w:rsidRPr="00277A13">
              <w:rPr>
                <w:rFonts w:ascii="Arial" w:hAnsi="Arial" w:cs="Arial"/>
                <w:bCs/>
                <w:sz w:val="24"/>
                <w:szCs w:val="24"/>
              </w:rPr>
              <w:t>The quote reminds me of the enactment of separate but equal laws or the establishment of the Jim Crows Laws</w:t>
            </w:r>
          </w:p>
          <w:p w14:paraId="4144B498" w14:textId="7A98EB54" w:rsidR="00C81943" w:rsidRPr="00277A13" w:rsidRDefault="00277A13" w:rsidP="00F16A87">
            <w:pPr>
              <w:pStyle w:val="ListParagraph"/>
              <w:numPr>
                <w:ilvl w:val="0"/>
                <w:numId w:val="6"/>
              </w:numPr>
              <w:spacing w:line="360" w:lineRule="auto"/>
              <w:rPr>
                <w:rFonts w:ascii="Arial" w:hAnsi="Arial" w:cs="Arial"/>
                <w:bCs/>
                <w:sz w:val="24"/>
                <w:szCs w:val="24"/>
              </w:rPr>
            </w:pPr>
            <w:r w:rsidRPr="00277A13">
              <w:rPr>
                <w:rFonts w:ascii="Arial" w:hAnsi="Arial" w:cs="Arial"/>
                <w:bCs/>
                <w:sz w:val="24"/>
                <w:szCs w:val="24"/>
              </w:rPr>
              <w:t>I</w:t>
            </w:r>
            <w:r>
              <w:rPr>
                <w:rFonts w:ascii="Arial" w:hAnsi="Arial" w:cs="Arial"/>
                <w:bCs/>
                <w:sz w:val="24"/>
                <w:szCs w:val="24"/>
              </w:rPr>
              <w:t xml:space="preserve">t is difficult to understand why being different is cause for alarm.  </w:t>
            </w:r>
          </w:p>
          <w:p w14:paraId="02631D27" w14:textId="7C325872" w:rsidR="00C81943" w:rsidRPr="00E24176" w:rsidRDefault="00E24176" w:rsidP="00E24176">
            <w:pPr>
              <w:pStyle w:val="ListParagraph"/>
              <w:numPr>
                <w:ilvl w:val="0"/>
                <w:numId w:val="6"/>
              </w:numPr>
              <w:spacing w:line="360" w:lineRule="auto"/>
              <w:rPr>
                <w:rFonts w:ascii="Arial" w:hAnsi="Arial" w:cs="Arial"/>
                <w:bCs/>
                <w:sz w:val="24"/>
                <w:szCs w:val="24"/>
              </w:rPr>
            </w:pPr>
            <w:r>
              <w:rPr>
                <w:rFonts w:ascii="Arial" w:hAnsi="Arial" w:cs="Arial"/>
                <w:bCs/>
                <w:sz w:val="24"/>
                <w:szCs w:val="24"/>
              </w:rPr>
              <w:t>I believe he point of this passage is to show that laws are passed in spite of people wishes.</w:t>
            </w:r>
          </w:p>
        </w:tc>
      </w:tr>
      <w:tr w:rsidR="007D5734" w:rsidRPr="00F16A87" w14:paraId="349D5C51" w14:textId="77777777" w:rsidTr="00175B37">
        <w:tc>
          <w:tcPr>
            <w:tcW w:w="1584" w:type="dxa"/>
          </w:tcPr>
          <w:p w14:paraId="0FDEBE0D" w14:textId="29FC95C8" w:rsidR="007D5734" w:rsidRPr="00F16A87" w:rsidRDefault="00175B37" w:rsidP="00175B37">
            <w:pPr>
              <w:spacing w:line="360" w:lineRule="auto"/>
              <w:jc w:val="center"/>
              <w:rPr>
                <w:rFonts w:ascii="Arial" w:hAnsi="Arial" w:cs="Arial"/>
                <w:sz w:val="24"/>
                <w:szCs w:val="24"/>
              </w:rPr>
            </w:pPr>
            <w:r>
              <w:rPr>
                <w:rFonts w:ascii="Arial" w:hAnsi="Arial" w:cs="Arial"/>
                <w:sz w:val="24"/>
                <w:szCs w:val="24"/>
              </w:rPr>
              <w:t>3</w:t>
            </w:r>
          </w:p>
        </w:tc>
        <w:tc>
          <w:tcPr>
            <w:tcW w:w="4111" w:type="dxa"/>
          </w:tcPr>
          <w:p w14:paraId="267FCDE8" w14:textId="77777777" w:rsidR="007D5734" w:rsidRPr="00F16A87" w:rsidRDefault="007D5734" w:rsidP="00F16A87">
            <w:pPr>
              <w:spacing w:line="360" w:lineRule="auto"/>
              <w:rPr>
                <w:rFonts w:ascii="Arial" w:hAnsi="Arial" w:cs="Arial"/>
                <w:color w:val="222222"/>
                <w:sz w:val="24"/>
                <w:szCs w:val="24"/>
                <w:shd w:val="clear" w:color="auto" w:fill="FFFFFF"/>
              </w:rPr>
            </w:pPr>
            <w:r w:rsidRPr="00F16A87">
              <w:rPr>
                <w:rFonts w:ascii="Arial" w:hAnsi="Arial" w:cs="Arial"/>
                <w:color w:val="222222"/>
                <w:sz w:val="24"/>
                <w:szCs w:val="24"/>
                <w:shd w:val="clear" w:color="auto" w:fill="FFFFFF"/>
              </w:rPr>
              <w:t>"The issue, when you have a Charter of Rights, is not whether a majority supports a law. It's a question of whether some people's rights are being violated," he said.</w:t>
            </w:r>
          </w:p>
          <w:p w14:paraId="0D9A3B82" w14:textId="77777777" w:rsidR="007D5734" w:rsidRPr="00F16A87" w:rsidRDefault="007D5734" w:rsidP="00F16A87">
            <w:pPr>
              <w:spacing w:line="360" w:lineRule="auto"/>
              <w:rPr>
                <w:rFonts w:ascii="Arial" w:hAnsi="Arial" w:cs="Arial"/>
                <w:sz w:val="24"/>
                <w:szCs w:val="24"/>
              </w:rPr>
            </w:pPr>
            <w:r w:rsidRPr="00F16A87">
              <w:rPr>
                <w:rFonts w:ascii="Arial" w:hAnsi="Arial" w:cs="Arial"/>
                <w:color w:val="222222"/>
                <w:sz w:val="24"/>
                <w:szCs w:val="24"/>
                <w:shd w:val="clear" w:color="auto" w:fill="FFFFFF"/>
              </w:rPr>
              <w:t>Anthony Housefather</w:t>
            </w:r>
          </w:p>
          <w:p w14:paraId="6F2DA0F5" w14:textId="2547B69B" w:rsidR="007D5734" w:rsidRPr="00F16A87" w:rsidRDefault="007D5734" w:rsidP="00F16A87">
            <w:pPr>
              <w:spacing w:line="360" w:lineRule="auto"/>
              <w:rPr>
                <w:rFonts w:ascii="Arial" w:hAnsi="Arial" w:cs="Arial"/>
                <w:sz w:val="24"/>
                <w:szCs w:val="24"/>
              </w:rPr>
            </w:pPr>
            <w:r w:rsidRPr="00F16A87">
              <w:rPr>
                <w:rFonts w:ascii="Arial" w:hAnsi="Arial" w:cs="Arial"/>
                <w:color w:val="222222"/>
                <w:sz w:val="24"/>
                <w:szCs w:val="24"/>
                <w:shd w:val="clear" w:color="auto" w:fill="FFFFFF"/>
              </w:rPr>
              <w:t> </w:t>
            </w:r>
          </w:p>
        </w:tc>
        <w:tc>
          <w:tcPr>
            <w:tcW w:w="4111" w:type="dxa"/>
          </w:tcPr>
          <w:p w14:paraId="045B6209" w14:textId="33CDAF29" w:rsidR="00277A13" w:rsidRPr="00E24176" w:rsidRDefault="00E24176" w:rsidP="00277A13">
            <w:pPr>
              <w:pStyle w:val="ListParagraph"/>
              <w:numPr>
                <w:ilvl w:val="0"/>
                <w:numId w:val="13"/>
              </w:numPr>
              <w:spacing w:line="360" w:lineRule="auto"/>
              <w:rPr>
                <w:rFonts w:ascii="Arial" w:hAnsi="Arial" w:cs="Arial"/>
                <w:bCs/>
                <w:sz w:val="24"/>
                <w:szCs w:val="24"/>
              </w:rPr>
            </w:pPr>
            <w:r w:rsidRPr="00E24176">
              <w:rPr>
                <w:rFonts w:ascii="Arial" w:hAnsi="Arial" w:cs="Arial"/>
                <w:bCs/>
                <w:sz w:val="24"/>
                <w:szCs w:val="24"/>
              </w:rPr>
              <w:t>I immediately contrasted Canada’s Charter of Rights to the United States Bill of Rights.</w:t>
            </w:r>
          </w:p>
          <w:p w14:paraId="488FA6A5" w14:textId="3BB54EFB" w:rsidR="007D5734" w:rsidRDefault="00E24176" w:rsidP="00277A13">
            <w:pPr>
              <w:pStyle w:val="ListParagraph"/>
              <w:numPr>
                <w:ilvl w:val="0"/>
                <w:numId w:val="13"/>
              </w:numPr>
              <w:spacing w:line="360" w:lineRule="auto"/>
              <w:rPr>
                <w:rFonts w:ascii="Arial" w:hAnsi="Arial" w:cs="Arial"/>
                <w:bCs/>
                <w:sz w:val="24"/>
                <w:szCs w:val="24"/>
              </w:rPr>
            </w:pPr>
            <w:r>
              <w:rPr>
                <w:rFonts w:ascii="Arial" w:hAnsi="Arial" w:cs="Arial"/>
                <w:bCs/>
                <w:sz w:val="24"/>
                <w:szCs w:val="24"/>
              </w:rPr>
              <w:t>In the United States this statement is prevalent when the 2</w:t>
            </w:r>
            <w:r w:rsidRPr="00E24176">
              <w:rPr>
                <w:rFonts w:ascii="Arial" w:hAnsi="Arial" w:cs="Arial"/>
                <w:bCs/>
                <w:sz w:val="24"/>
                <w:szCs w:val="24"/>
                <w:vertAlign w:val="superscript"/>
              </w:rPr>
              <w:t>nd</w:t>
            </w:r>
            <w:r>
              <w:rPr>
                <w:rFonts w:ascii="Arial" w:hAnsi="Arial" w:cs="Arial"/>
                <w:bCs/>
                <w:sz w:val="24"/>
                <w:szCs w:val="24"/>
              </w:rPr>
              <w:t xml:space="preserve"> amendment is brought up in conversation.   When is interesting in regards to the US Constitution is that the 14 amendment the right to equal protection under the law is challenged more often that the right to bear </w:t>
            </w:r>
            <w:proofErr w:type="gramStart"/>
            <w:r>
              <w:rPr>
                <w:rFonts w:ascii="Arial" w:hAnsi="Arial" w:cs="Arial"/>
                <w:bCs/>
                <w:sz w:val="24"/>
                <w:szCs w:val="24"/>
              </w:rPr>
              <w:t>arms.</w:t>
            </w:r>
            <w:proofErr w:type="gramEnd"/>
            <w:r w:rsidR="00A66F62">
              <w:rPr>
                <w:rFonts w:ascii="Arial" w:hAnsi="Arial" w:cs="Arial"/>
                <w:bCs/>
                <w:sz w:val="24"/>
                <w:szCs w:val="24"/>
              </w:rPr>
              <w:t xml:space="preserve"> I</w:t>
            </w:r>
            <w:r>
              <w:rPr>
                <w:rFonts w:ascii="Arial" w:hAnsi="Arial" w:cs="Arial"/>
                <w:bCs/>
                <w:sz w:val="24"/>
                <w:szCs w:val="24"/>
              </w:rPr>
              <w:t xml:space="preserve"> </w:t>
            </w:r>
            <w:r w:rsidR="00A66F62">
              <w:rPr>
                <w:rFonts w:ascii="Arial" w:hAnsi="Arial" w:cs="Arial"/>
                <w:bCs/>
                <w:sz w:val="24"/>
                <w:szCs w:val="24"/>
              </w:rPr>
              <w:lastRenderedPageBreak/>
              <w:t>believe this gives us glimpse of America’s values system.</w:t>
            </w:r>
          </w:p>
          <w:p w14:paraId="4FDDE7DD" w14:textId="77777777" w:rsidR="00A66F62" w:rsidRDefault="00A66F62" w:rsidP="00A66F62">
            <w:pPr>
              <w:pStyle w:val="ListParagraph"/>
              <w:spacing w:line="360" w:lineRule="auto"/>
              <w:rPr>
                <w:rFonts w:ascii="Arial" w:hAnsi="Arial" w:cs="Arial"/>
                <w:bCs/>
                <w:sz w:val="24"/>
                <w:szCs w:val="24"/>
              </w:rPr>
            </w:pPr>
          </w:p>
          <w:p w14:paraId="4484C599" w14:textId="589BFF42" w:rsidR="00A66F62" w:rsidRPr="00A66F62" w:rsidRDefault="00A66F62" w:rsidP="00277A13">
            <w:pPr>
              <w:pStyle w:val="ListParagraph"/>
              <w:numPr>
                <w:ilvl w:val="0"/>
                <w:numId w:val="13"/>
              </w:numPr>
              <w:spacing w:line="360" w:lineRule="auto"/>
              <w:rPr>
                <w:rFonts w:ascii="Arial" w:hAnsi="Arial" w:cs="Arial"/>
                <w:bCs/>
                <w:sz w:val="24"/>
                <w:szCs w:val="24"/>
              </w:rPr>
            </w:pPr>
            <w:r>
              <w:rPr>
                <w:rFonts w:ascii="Arial" w:hAnsi="Arial" w:cs="Arial"/>
                <w:bCs/>
                <w:sz w:val="24"/>
                <w:szCs w:val="24"/>
              </w:rPr>
              <w:t>In democratic societies votes are presented as majorities rules.  However, when dealing with matters of injustice this method of decision making need to be put aside. Injustice requires conference not just polling.  The subsequent discussion allows all parties to provide input to find a solution.</w:t>
            </w:r>
          </w:p>
        </w:tc>
      </w:tr>
    </w:tbl>
    <w:p w14:paraId="0B8E8297" w14:textId="77777777" w:rsidR="00C81943" w:rsidRPr="00F16A87" w:rsidRDefault="00C81943" w:rsidP="00F16A87">
      <w:pPr>
        <w:spacing w:line="360" w:lineRule="auto"/>
        <w:rPr>
          <w:rFonts w:ascii="Arial" w:hAnsi="Arial" w:cs="Arial"/>
          <w:sz w:val="24"/>
          <w:szCs w:val="24"/>
        </w:rPr>
      </w:pPr>
    </w:p>
    <w:sectPr w:rsidR="00C81943" w:rsidRPr="00F16A87" w:rsidSect="00F43C4B">
      <w:headerReference w:type="even" r:id="rId9"/>
      <w:headerReference w:type="default" r:id="rId10"/>
      <w:headerReference w:type="first" r:id="rId11"/>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2888A" w14:textId="77777777" w:rsidR="00712803" w:rsidRDefault="00712803" w:rsidP="00DE6FC5">
      <w:pPr>
        <w:spacing w:after="0" w:line="240" w:lineRule="auto"/>
      </w:pPr>
      <w:r>
        <w:separator/>
      </w:r>
    </w:p>
  </w:endnote>
  <w:endnote w:type="continuationSeparator" w:id="0">
    <w:p w14:paraId="76343EA4" w14:textId="77777777" w:rsidR="00712803" w:rsidRDefault="00712803" w:rsidP="00DE6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816B4" w14:textId="77777777" w:rsidR="00712803" w:rsidRDefault="00712803" w:rsidP="00DE6FC5">
      <w:pPr>
        <w:spacing w:after="0" w:line="240" w:lineRule="auto"/>
      </w:pPr>
      <w:r>
        <w:separator/>
      </w:r>
    </w:p>
  </w:footnote>
  <w:footnote w:type="continuationSeparator" w:id="0">
    <w:p w14:paraId="7648FFBF" w14:textId="77777777" w:rsidR="00712803" w:rsidRDefault="00712803" w:rsidP="00DE6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2660616"/>
      <w:docPartObj>
        <w:docPartGallery w:val="Page Numbers (Top of Page)"/>
        <w:docPartUnique/>
      </w:docPartObj>
    </w:sdtPr>
    <w:sdtEndPr>
      <w:rPr>
        <w:rStyle w:val="PageNumber"/>
      </w:rPr>
    </w:sdtEndPr>
    <w:sdtContent>
      <w:p w14:paraId="455D1F68" w14:textId="01193049" w:rsidR="00F43C4B" w:rsidRDefault="00F43C4B" w:rsidP="007D3E5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75693" w14:textId="77777777" w:rsidR="00F43C4B" w:rsidRDefault="00F43C4B" w:rsidP="00F43C4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05502201"/>
      <w:docPartObj>
        <w:docPartGallery w:val="Page Numbers (Top of Page)"/>
        <w:docPartUnique/>
      </w:docPartObj>
    </w:sdtPr>
    <w:sdtEndPr>
      <w:rPr>
        <w:rStyle w:val="PageNumber"/>
      </w:rPr>
    </w:sdtEndPr>
    <w:sdtContent>
      <w:p w14:paraId="7738773E" w14:textId="4590DAA4" w:rsidR="00F43C4B" w:rsidRDefault="00F43C4B" w:rsidP="007D3E5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7893E0" w14:textId="77777777" w:rsidR="00F43C4B" w:rsidRDefault="00F43C4B" w:rsidP="00F43C4B">
    <w:pPr>
      <w:spacing w:line="360" w:lineRule="auto"/>
      <w:ind w:right="360"/>
      <w:rPr>
        <w:rFonts w:ascii="Times New Roman" w:hAnsi="Times New Roman" w:cs="Times New Roman"/>
      </w:rPr>
    </w:pPr>
    <w:r w:rsidRPr="00C81943">
      <w:rPr>
        <w:rFonts w:ascii="Times New Roman" w:hAnsi="Times New Roman" w:cs="Times New Roman"/>
      </w:rPr>
      <w:t>Double Entry Journal Template</w:t>
    </w:r>
  </w:p>
  <w:p w14:paraId="1F0F8FD3" w14:textId="77777777" w:rsidR="00F43C4B" w:rsidRDefault="00F43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5EFDF" w14:textId="77777777" w:rsidR="00F43C4B" w:rsidRDefault="00F43C4B" w:rsidP="00F43C4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D4504"/>
    <w:multiLevelType w:val="hybridMultilevel"/>
    <w:tmpl w:val="AA5C0C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0900B7"/>
    <w:multiLevelType w:val="hybridMultilevel"/>
    <w:tmpl w:val="12FEE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83B88"/>
    <w:multiLevelType w:val="hybridMultilevel"/>
    <w:tmpl w:val="AA5C0C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4A25CC"/>
    <w:multiLevelType w:val="hybridMultilevel"/>
    <w:tmpl w:val="AA5C0C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97384F"/>
    <w:multiLevelType w:val="hybridMultilevel"/>
    <w:tmpl w:val="C602EEE6"/>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265F4"/>
    <w:multiLevelType w:val="hybridMultilevel"/>
    <w:tmpl w:val="AA5C0C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345240"/>
    <w:multiLevelType w:val="hybridMultilevel"/>
    <w:tmpl w:val="378C5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E5DE4"/>
    <w:multiLevelType w:val="hybridMultilevel"/>
    <w:tmpl w:val="C4F81698"/>
    <w:lvl w:ilvl="0" w:tplc="5C34A18A">
      <w:start w:val="1"/>
      <w:numFmt w:val="decimal"/>
      <w:lvlText w:val="%1."/>
      <w:lvlJc w:val="left"/>
      <w:pPr>
        <w:ind w:left="720" w:hanging="360"/>
      </w:pPr>
      <w:rPr>
        <w:rFonts w:eastAsiaTheme="majorEastAsia"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01A1C"/>
    <w:multiLevelType w:val="hybridMultilevel"/>
    <w:tmpl w:val="D10AE5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F636F2"/>
    <w:multiLevelType w:val="hybridMultilevel"/>
    <w:tmpl w:val="5B9E1C98"/>
    <w:lvl w:ilvl="0" w:tplc="4B9033F8">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99440BF"/>
    <w:multiLevelType w:val="hybridMultilevel"/>
    <w:tmpl w:val="46FC986C"/>
    <w:lvl w:ilvl="0" w:tplc="DAB268AC">
      <w:start w:val="1"/>
      <w:numFmt w:val="decimal"/>
      <w:lvlText w:val="%1."/>
      <w:lvlJc w:val="left"/>
      <w:pPr>
        <w:ind w:left="720" w:hanging="360"/>
      </w:pPr>
      <w:rPr>
        <w:rFonts w:eastAsiaTheme="majorEastAsia"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424558"/>
    <w:multiLevelType w:val="hybridMultilevel"/>
    <w:tmpl w:val="AA5C0C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84C4771"/>
    <w:multiLevelType w:val="hybridMultilevel"/>
    <w:tmpl w:val="AA5C0C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BFF46FB"/>
    <w:multiLevelType w:val="hybridMultilevel"/>
    <w:tmpl w:val="780E3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2"/>
  </w:num>
  <w:num w:numId="5">
    <w:abstractNumId w:val="7"/>
  </w:num>
  <w:num w:numId="6">
    <w:abstractNumId w:val="9"/>
  </w:num>
  <w:num w:numId="7">
    <w:abstractNumId w:val="3"/>
  </w:num>
  <w:num w:numId="8">
    <w:abstractNumId w:val="13"/>
  </w:num>
  <w:num w:numId="9">
    <w:abstractNumId w:val="1"/>
  </w:num>
  <w:num w:numId="10">
    <w:abstractNumId w:val="10"/>
  </w:num>
  <w:num w:numId="11">
    <w:abstractNumId w:val="11"/>
  </w:num>
  <w:num w:numId="12">
    <w:abstractNumId w:val="12"/>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75E"/>
    <w:rsid w:val="000010ED"/>
    <w:rsid w:val="000170AA"/>
    <w:rsid w:val="000A0921"/>
    <w:rsid w:val="000E697F"/>
    <w:rsid w:val="00175B37"/>
    <w:rsid w:val="001A4D33"/>
    <w:rsid w:val="0025587F"/>
    <w:rsid w:val="00277A13"/>
    <w:rsid w:val="002912BE"/>
    <w:rsid w:val="00466F72"/>
    <w:rsid w:val="004842CE"/>
    <w:rsid w:val="004C675E"/>
    <w:rsid w:val="004E385D"/>
    <w:rsid w:val="00591805"/>
    <w:rsid w:val="005E613E"/>
    <w:rsid w:val="005E6705"/>
    <w:rsid w:val="00613CFC"/>
    <w:rsid w:val="00632692"/>
    <w:rsid w:val="006E66C3"/>
    <w:rsid w:val="00712803"/>
    <w:rsid w:val="00714DA5"/>
    <w:rsid w:val="0075598C"/>
    <w:rsid w:val="00764B0B"/>
    <w:rsid w:val="007D5734"/>
    <w:rsid w:val="007F01AC"/>
    <w:rsid w:val="0084460D"/>
    <w:rsid w:val="008A476D"/>
    <w:rsid w:val="008F2543"/>
    <w:rsid w:val="00937E53"/>
    <w:rsid w:val="009F5210"/>
    <w:rsid w:val="00A50B34"/>
    <w:rsid w:val="00A66F62"/>
    <w:rsid w:val="00A848C9"/>
    <w:rsid w:val="00AA6BAD"/>
    <w:rsid w:val="00B1145F"/>
    <w:rsid w:val="00B66FDA"/>
    <w:rsid w:val="00B724C2"/>
    <w:rsid w:val="00BE04A2"/>
    <w:rsid w:val="00C34637"/>
    <w:rsid w:val="00C81943"/>
    <w:rsid w:val="00C92415"/>
    <w:rsid w:val="00DD1261"/>
    <w:rsid w:val="00DE6FC5"/>
    <w:rsid w:val="00E24176"/>
    <w:rsid w:val="00E32610"/>
    <w:rsid w:val="00E40CB8"/>
    <w:rsid w:val="00E51235"/>
    <w:rsid w:val="00F16A87"/>
    <w:rsid w:val="00F24472"/>
    <w:rsid w:val="00F43C4B"/>
    <w:rsid w:val="00F47F79"/>
    <w:rsid w:val="00F74C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4CE50"/>
  <w15:chartTrackingRefBased/>
  <w15:docId w15:val="{55DF5BE2-92D1-4A55-A342-C536292A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FDA"/>
    <w:pPr>
      <w:ind w:left="720"/>
      <w:contextualSpacing/>
    </w:pPr>
  </w:style>
  <w:style w:type="paragraph" w:styleId="Header">
    <w:name w:val="header"/>
    <w:basedOn w:val="Normal"/>
    <w:link w:val="HeaderChar"/>
    <w:uiPriority w:val="99"/>
    <w:unhideWhenUsed/>
    <w:rsid w:val="00DE6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FC5"/>
  </w:style>
  <w:style w:type="paragraph" w:styleId="Footer">
    <w:name w:val="footer"/>
    <w:basedOn w:val="Normal"/>
    <w:link w:val="FooterChar"/>
    <w:uiPriority w:val="99"/>
    <w:unhideWhenUsed/>
    <w:rsid w:val="00DE6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FC5"/>
  </w:style>
  <w:style w:type="character" w:customStyle="1" w:styleId="screenreader-only">
    <w:name w:val="screenreader-only"/>
    <w:basedOn w:val="DefaultParagraphFont"/>
    <w:rsid w:val="004E385D"/>
  </w:style>
  <w:style w:type="paragraph" w:styleId="NormalWeb">
    <w:name w:val="Normal (Web)"/>
    <w:basedOn w:val="Normal"/>
    <w:uiPriority w:val="99"/>
    <w:unhideWhenUsed/>
    <w:rsid w:val="00C8194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C81943"/>
    <w:rPr>
      <w:color w:val="0000FF"/>
      <w:u w:val="single"/>
    </w:rPr>
  </w:style>
  <w:style w:type="character" w:styleId="Emphasis">
    <w:name w:val="Emphasis"/>
    <w:basedOn w:val="DefaultParagraphFont"/>
    <w:uiPriority w:val="20"/>
    <w:qFormat/>
    <w:rsid w:val="00C81943"/>
    <w:rPr>
      <w:i/>
      <w:iCs/>
    </w:rPr>
  </w:style>
  <w:style w:type="character" w:styleId="UnresolvedMention">
    <w:name w:val="Unresolved Mention"/>
    <w:basedOn w:val="DefaultParagraphFont"/>
    <w:uiPriority w:val="99"/>
    <w:semiHidden/>
    <w:unhideWhenUsed/>
    <w:rsid w:val="00C81943"/>
    <w:rPr>
      <w:color w:val="605E5C"/>
      <w:shd w:val="clear" w:color="auto" w:fill="E1DFDD"/>
    </w:rPr>
  </w:style>
  <w:style w:type="character" w:styleId="PageNumber">
    <w:name w:val="page number"/>
    <w:basedOn w:val="DefaultParagraphFont"/>
    <w:uiPriority w:val="99"/>
    <w:semiHidden/>
    <w:unhideWhenUsed/>
    <w:rsid w:val="00F43C4B"/>
  </w:style>
  <w:style w:type="character" w:styleId="FollowedHyperlink">
    <w:name w:val="FollowedHyperlink"/>
    <w:basedOn w:val="DefaultParagraphFont"/>
    <w:uiPriority w:val="99"/>
    <w:semiHidden/>
    <w:unhideWhenUsed/>
    <w:rsid w:val="007D57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0590">
      <w:bodyDiv w:val="1"/>
      <w:marLeft w:val="0"/>
      <w:marRight w:val="0"/>
      <w:marTop w:val="0"/>
      <w:marBottom w:val="0"/>
      <w:divBdr>
        <w:top w:val="none" w:sz="0" w:space="0" w:color="auto"/>
        <w:left w:val="none" w:sz="0" w:space="0" w:color="auto"/>
        <w:bottom w:val="none" w:sz="0" w:space="0" w:color="auto"/>
        <w:right w:val="none" w:sz="0" w:space="0" w:color="auto"/>
      </w:divBdr>
    </w:div>
    <w:div w:id="96026487">
      <w:bodyDiv w:val="1"/>
      <w:marLeft w:val="0"/>
      <w:marRight w:val="0"/>
      <w:marTop w:val="0"/>
      <w:marBottom w:val="0"/>
      <w:divBdr>
        <w:top w:val="none" w:sz="0" w:space="0" w:color="auto"/>
        <w:left w:val="none" w:sz="0" w:space="0" w:color="auto"/>
        <w:bottom w:val="none" w:sz="0" w:space="0" w:color="auto"/>
        <w:right w:val="none" w:sz="0" w:space="0" w:color="auto"/>
      </w:divBdr>
    </w:div>
    <w:div w:id="156573653">
      <w:bodyDiv w:val="1"/>
      <w:marLeft w:val="0"/>
      <w:marRight w:val="0"/>
      <w:marTop w:val="0"/>
      <w:marBottom w:val="0"/>
      <w:divBdr>
        <w:top w:val="none" w:sz="0" w:space="0" w:color="auto"/>
        <w:left w:val="none" w:sz="0" w:space="0" w:color="auto"/>
        <w:bottom w:val="none" w:sz="0" w:space="0" w:color="auto"/>
        <w:right w:val="none" w:sz="0" w:space="0" w:color="auto"/>
      </w:divBdr>
    </w:div>
    <w:div w:id="200285150">
      <w:bodyDiv w:val="1"/>
      <w:marLeft w:val="0"/>
      <w:marRight w:val="0"/>
      <w:marTop w:val="0"/>
      <w:marBottom w:val="0"/>
      <w:divBdr>
        <w:top w:val="none" w:sz="0" w:space="0" w:color="auto"/>
        <w:left w:val="none" w:sz="0" w:space="0" w:color="auto"/>
        <w:bottom w:val="none" w:sz="0" w:space="0" w:color="auto"/>
        <w:right w:val="none" w:sz="0" w:space="0" w:color="auto"/>
      </w:divBdr>
    </w:div>
    <w:div w:id="463819405">
      <w:bodyDiv w:val="1"/>
      <w:marLeft w:val="0"/>
      <w:marRight w:val="0"/>
      <w:marTop w:val="0"/>
      <w:marBottom w:val="0"/>
      <w:divBdr>
        <w:top w:val="none" w:sz="0" w:space="0" w:color="auto"/>
        <w:left w:val="none" w:sz="0" w:space="0" w:color="auto"/>
        <w:bottom w:val="none" w:sz="0" w:space="0" w:color="auto"/>
        <w:right w:val="none" w:sz="0" w:space="0" w:color="auto"/>
      </w:divBdr>
    </w:div>
    <w:div w:id="468859613">
      <w:bodyDiv w:val="1"/>
      <w:marLeft w:val="0"/>
      <w:marRight w:val="0"/>
      <w:marTop w:val="0"/>
      <w:marBottom w:val="0"/>
      <w:divBdr>
        <w:top w:val="none" w:sz="0" w:space="0" w:color="auto"/>
        <w:left w:val="none" w:sz="0" w:space="0" w:color="auto"/>
        <w:bottom w:val="none" w:sz="0" w:space="0" w:color="auto"/>
        <w:right w:val="none" w:sz="0" w:space="0" w:color="auto"/>
      </w:divBdr>
      <w:divsChild>
        <w:div w:id="310713964">
          <w:marLeft w:val="0"/>
          <w:marRight w:val="0"/>
          <w:marTop w:val="0"/>
          <w:marBottom w:val="0"/>
          <w:divBdr>
            <w:top w:val="none" w:sz="0" w:space="0" w:color="auto"/>
            <w:left w:val="none" w:sz="0" w:space="0" w:color="auto"/>
            <w:bottom w:val="none" w:sz="0" w:space="0" w:color="auto"/>
            <w:right w:val="none" w:sz="0" w:space="0" w:color="auto"/>
          </w:divBdr>
          <w:divsChild>
            <w:div w:id="2011372676">
              <w:marLeft w:val="0"/>
              <w:marRight w:val="0"/>
              <w:marTop w:val="0"/>
              <w:marBottom w:val="0"/>
              <w:divBdr>
                <w:top w:val="none" w:sz="0" w:space="0" w:color="auto"/>
                <w:left w:val="none" w:sz="0" w:space="0" w:color="auto"/>
                <w:bottom w:val="none" w:sz="0" w:space="0" w:color="auto"/>
                <w:right w:val="none" w:sz="0" w:space="0" w:color="auto"/>
              </w:divBdr>
              <w:divsChild>
                <w:div w:id="815486848">
                  <w:marLeft w:val="0"/>
                  <w:marRight w:val="0"/>
                  <w:marTop w:val="0"/>
                  <w:marBottom w:val="0"/>
                  <w:divBdr>
                    <w:top w:val="none" w:sz="0" w:space="0" w:color="auto"/>
                    <w:left w:val="none" w:sz="0" w:space="0" w:color="auto"/>
                    <w:bottom w:val="none" w:sz="0" w:space="0" w:color="auto"/>
                    <w:right w:val="none" w:sz="0" w:space="0" w:color="auto"/>
                  </w:divBdr>
                  <w:divsChild>
                    <w:div w:id="1268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577143">
      <w:bodyDiv w:val="1"/>
      <w:marLeft w:val="0"/>
      <w:marRight w:val="0"/>
      <w:marTop w:val="0"/>
      <w:marBottom w:val="0"/>
      <w:divBdr>
        <w:top w:val="none" w:sz="0" w:space="0" w:color="auto"/>
        <w:left w:val="none" w:sz="0" w:space="0" w:color="auto"/>
        <w:bottom w:val="none" w:sz="0" w:space="0" w:color="auto"/>
        <w:right w:val="none" w:sz="0" w:space="0" w:color="auto"/>
      </w:divBdr>
      <w:divsChild>
        <w:div w:id="963340937">
          <w:marLeft w:val="0"/>
          <w:marRight w:val="0"/>
          <w:marTop w:val="0"/>
          <w:marBottom w:val="0"/>
          <w:divBdr>
            <w:top w:val="none" w:sz="0" w:space="0" w:color="auto"/>
            <w:left w:val="none" w:sz="0" w:space="0" w:color="auto"/>
            <w:bottom w:val="none" w:sz="0" w:space="0" w:color="auto"/>
            <w:right w:val="none" w:sz="0" w:space="0" w:color="auto"/>
          </w:divBdr>
          <w:divsChild>
            <w:div w:id="2108495718">
              <w:marLeft w:val="0"/>
              <w:marRight w:val="0"/>
              <w:marTop w:val="0"/>
              <w:marBottom w:val="0"/>
              <w:divBdr>
                <w:top w:val="none" w:sz="0" w:space="0" w:color="auto"/>
                <w:left w:val="none" w:sz="0" w:space="0" w:color="auto"/>
                <w:bottom w:val="none" w:sz="0" w:space="0" w:color="auto"/>
                <w:right w:val="none" w:sz="0" w:space="0" w:color="auto"/>
              </w:divBdr>
              <w:divsChild>
                <w:div w:id="1223636946">
                  <w:marLeft w:val="0"/>
                  <w:marRight w:val="0"/>
                  <w:marTop w:val="0"/>
                  <w:marBottom w:val="0"/>
                  <w:divBdr>
                    <w:top w:val="none" w:sz="0" w:space="0" w:color="auto"/>
                    <w:left w:val="none" w:sz="0" w:space="0" w:color="auto"/>
                    <w:bottom w:val="none" w:sz="0" w:space="0" w:color="auto"/>
                    <w:right w:val="none" w:sz="0" w:space="0" w:color="auto"/>
                  </w:divBdr>
                  <w:divsChild>
                    <w:div w:id="943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156973">
      <w:bodyDiv w:val="1"/>
      <w:marLeft w:val="0"/>
      <w:marRight w:val="0"/>
      <w:marTop w:val="0"/>
      <w:marBottom w:val="0"/>
      <w:divBdr>
        <w:top w:val="none" w:sz="0" w:space="0" w:color="auto"/>
        <w:left w:val="none" w:sz="0" w:space="0" w:color="auto"/>
        <w:bottom w:val="none" w:sz="0" w:space="0" w:color="auto"/>
        <w:right w:val="none" w:sz="0" w:space="0" w:color="auto"/>
      </w:divBdr>
    </w:div>
    <w:div w:id="1527908998">
      <w:bodyDiv w:val="1"/>
      <w:marLeft w:val="0"/>
      <w:marRight w:val="0"/>
      <w:marTop w:val="0"/>
      <w:marBottom w:val="0"/>
      <w:divBdr>
        <w:top w:val="none" w:sz="0" w:space="0" w:color="auto"/>
        <w:left w:val="none" w:sz="0" w:space="0" w:color="auto"/>
        <w:bottom w:val="none" w:sz="0" w:space="0" w:color="auto"/>
        <w:right w:val="none" w:sz="0" w:space="0" w:color="auto"/>
      </w:divBdr>
    </w:div>
    <w:div w:id="1725374345">
      <w:bodyDiv w:val="1"/>
      <w:marLeft w:val="0"/>
      <w:marRight w:val="0"/>
      <w:marTop w:val="0"/>
      <w:marBottom w:val="0"/>
      <w:divBdr>
        <w:top w:val="none" w:sz="0" w:space="0" w:color="auto"/>
        <w:left w:val="none" w:sz="0" w:space="0" w:color="auto"/>
        <w:bottom w:val="none" w:sz="0" w:space="0" w:color="auto"/>
        <w:right w:val="none" w:sz="0" w:space="0" w:color="auto"/>
      </w:divBdr>
    </w:div>
    <w:div w:id="1956716599">
      <w:bodyDiv w:val="1"/>
      <w:marLeft w:val="0"/>
      <w:marRight w:val="0"/>
      <w:marTop w:val="0"/>
      <w:marBottom w:val="0"/>
      <w:divBdr>
        <w:top w:val="none" w:sz="0" w:space="0" w:color="auto"/>
        <w:left w:val="none" w:sz="0" w:space="0" w:color="auto"/>
        <w:bottom w:val="none" w:sz="0" w:space="0" w:color="auto"/>
        <w:right w:val="none" w:sz="0" w:space="0" w:color="auto"/>
      </w:divBdr>
    </w:div>
    <w:div w:id="212849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edu/resources/illumination/documents/white-privilege-essay-mcintosh.pdf&#160;(Links%20to%20an%20external%20site.)Links%20to%20an%20external%20si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26A0E-B93E-274A-B2CF-9BA19760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dixon</dc:creator>
  <cp:keywords/>
  <dc:description/>
  <cp:lastModifiedBy>Albert Baxter</cp:lastModifiedBy>
  <cp:revision>6</cp:revision>
  <dcterms:created xsi:type="dcterms:W3CDTF">2020-06-02T21:33:00Z</dcterms:created>
  <dcterms:modified xsi:type="dcterms:W3CDTF">2020-07-06T03:47:00Z</dcterms:modified>
</cp:coreProperties>
</file>